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75F3" w14:textId="77777777" w:rsidR="00571292" w:rsidRDefault="00571292">
      <w:pPr>
        <w:rPr>
          <w:lang w:val="en-US"/>
        </w:rPr>
      </w:pPr>
    </w:p>
    <w:p w14:paraId="7840C50A" w14:textId="77777777" w:rsidR="004A06DA" w:rsidRPr="00881332" w:rsidRDefault="004A06DA" w:rsidP="004A06DA">
      <w:pPr>
        <w:jc w:val="center"/>
        <w:rPr>
          <w:b/>
          <w:bCs/>
          <w:sz w:val="28"/>
          <w:szCs w:val="28"/>
          <w:lang w:val="en-US"/>
        </w:rPr>
      </w:pPr>
      <w:r w:rsidRPr="00881332">
        <w:rPr>
          <w:b/>
          <w:bCs/>
          <w:sz w:val="28"/>
          <w:szCs w:val="28"/>
          <w:lang w:val="en-US"/>
        </w:rPr>
        <w:t>Terms of Reference</w:t>
      </w:r>
    </w:p>
    <w:p w14:paraId="67D401B3" w14:textId="77777777" w:rsidR="004A06DA" w:rsidRPr="00881332" w:rsidRDefault="004A06DA" w:rsidP="004A06DA">
      <w:pPr>
        <w:jc w:val="center"/>
        <w:rPr>
          <w:sz w:val="28"/>
          <w:szCs w:val="28"/>
          <w:lang w:val="en-US"/>
        </w:rPr>
      </w:pPr>
    </w:p>
    <w:p w14:paraId="4B520D9D" w14:textId="55B531A7" w:rsidR="004A06DA" w:rsidRPr="00881332" w:rsidRDefault="004A06DA" w:rsidP="004A06DA">
      <w:pPr>
        <w:jc w:val="center"/>
        <w:rPr>
          <w:b/>
          <w:bCs/>
          <w:sz w:val="28"/>
          <w:szCs w:val="28"/>
          <w:lang w:val="en-US"/>
        </w:rPr>
      </w:pPr>
      <w:r w:rsidRPr="00881332">
        <w:rPr>
          <w:b/>
          <w:bCs/>
          <w:sz w:val="28"/>
          <w:szCs w:val="28"/>
          <w:lang w:val="en-US"/>
        </w:rPr>
        <w:t>Network of Asia &amp; pacific Producers</w:t>
      </w:r>
      <w:r w:rsidR="00881332" w:rsidRPr="00881332">
        <w:rPr>
          <w:b/>
          <w:bCs/>
          <w:sz w:val="28"/>
          <w:szCs w:val="28"/>
          <w:lang w:val="en-US"/>
        </w:rPr>
        <w:t xml:space="preserve"> (NAPP)</w:t>
      </w:r>
    </w:p>
    <w:p w14:paraId="25E114DB" w14:textId="77777777" w:rsidR="004A06DA" w:rsidRPr="00881332" w:rsidRDefault="004A06DA" w:rsidP="004A06DA">
      <w:pPr>
        <w:jc w:val="center"/>
        <w:rPr>
          <w:sz w:val="28"/>
          <w:szCs w:val="28"/>
          <w:lang w:val="en-US"/>
        </w:rPr>
      </w:pPr>
      <w:r w:rsidRPr="00881332">
        <w:rPr>
          <w:sz w:val="28"/>
          <w:szCs w:val="28"/>
          <w:lang w:val="en-US"/>
        </w:rPr>
        <w:t>SPO Trainings on Governance, Market Access, Value chain development &amp; Access to Finance</w:t>
      </w:r>
    </w:p>
    <w:p w14:paraId="46E9E0B6" w14:textId="77777777" w:rsidR="004A06DA" w:rsidRPr="00881332" w:rsidRDefault="004A06DA" w:rsidP="004A06DA">
      <w:pPr>
        <w:jc w:val="center"/>
        <w:rPr>
          <w:sz w:val="28"/>
          <w:szCs w:val="28"/>
          <w:lang w:val="en-US"/>
        </w:rPr>
      </w:pPr>
    </w:p>
    <w:p w14:paraId="155E8714" w14:textId="77777777" w:rsidR="004A06DA" w:rsidRPr="00881332" w:rsidRDefault="004A06DA" w:rsidP="004A06DA">
      <w:pPr>
        <w:rPr>
          <w:b/>
          <w:bCs/>
          <w:sz w:val="28"/>
          <w:szCs w:val="28"/>
          <w:lang w:val="en-US"/>
        </w:rPr>
      </w:pPr>
      <w:r w:rsidRPr="00881332">
        <w:rPr>
          <w:b/>
          <w:bCs/>
          <w:sz w:val="28"/>
          <w:szCs w:val="28"/>
          <w:lang w:val="en-US"/>
        </w:rPr>
        <w:t>1. About NAPP</w:t>
      </w:r>
    </w:p>
    <w:p w14:paraId="0E460C25" w14:textId="77777777" w:rsidR="00881332" w:rsidRPr="00881332" w:rsidRDefault="00881332" w:rsidP="004A06DA">
      <w:pPr>
        <w:rPr>
          <w:b/>
          <w:bCs/>
          <w:sz w:val="28"/>
          <w:szCs w:val="28"/>
          <w:lang w:val="en-US"/>
        </w:rPr>
      </w:pPr>
    </w:p>
    <w:p w14:paraId="73EB249C" w14:textId="57CC5A68" w:rsidR="00881332" w:rsidRPr="00881332" w:rsidRDefault="00881332" w:rsidP="00881332">
      <w:pPr>
        <w:jc w:val="both"/>
        <w:rPr>
          <w:rFonts w:eastAsia="Times New Roman" w:cs="Times New Roman"/>
          <w:color w:val="222222"/>
          <w:sz w:val="23"/>
          <w:szCs w:val="23"/>
          <w:bdr w:val="none" w:sz="0" w:space="0" w:color="auto" w:frame="1"/>
          <w:lang w:eastAsia="en-GB" w:bidi="ml-IN"/>
        </w:rPr>
      </w:pPr>
      <w:r w:rsidRPr="00881332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Fairtrade NAPP supports and empowers Fairtrade certified farmers and workers across the Asia Pacific region. The producers share 50% ownership of the Fairtrade system and have an equal voice in all decisions that affect them. As a Producer Network, NAPP ensures their voice is heard in the system</w:t>
      </w:r>
      <w:r w:rsidRPr="00881332">
        <w:rPr>
          <w:rFonts w:eastAsia="Times New Roman" w:cs="Times New Roman"/>
          <w:color w:val="222222"/>
          <w:sz w:val="23"/>
          <w:szCs w:val="23"/>
          <w:bdr w:val="none" w:sz="0" w:space="0" w:color="auto" w:frame="1"/>
          <w:lang w:eastAsia="en-GB" w:bidi="ml-IN"/>
        </w:rPr>
        <w:t>. </w:t>
      </w:r>
    </w:p>
    <w:p w14:paraId="233EC6C3" w14:textId="77777777" w:rsidR="00881332" w:rsidRPr="00881332" w:rsidRDefault="00881332" w:rsidP="00881332">
      <w:pPr>
        <w:jc w:val="both"/>
        <w:rPr>
          <w:rFonts w:eastAsia="Times New Roman" w:cs="Times New Roman"/>
          <w:color w:val="222222"/>
          <w:sz w:val="23"/>
          <w:szCs w:val="23"/>
          <w:bdr w:val="none" w:sz="0" w:space="0" w:color="auto" w:frame="1"/>
          <w:lang w:eastAsia="en-GB" w:bidi="ml-IN"/>
        </w:rPr>
      </w:pPr>
    </w:p>
    <w:p w14:paraId="3A5BDA51" w14:textId="3B0FD7D4" w:rsidR="00881332" w:rsidRDefault="00881332" w:rsidP="00881332">
      <w:pPr>
        <w:jc w:val="both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</w:pPr>
      <w:r w:rsidRPr="00881332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  <w:t>2. Project Background</w:t>
      </w:r>
    </w:p>
    <w:p w14:paraId="122D690C" w14:textId="77777777" w:rsidR="00881332" w:rsidRDefault="00881332" w:rsidP="004A06DA">
      <w:pPr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</w:pPr>
    </w:p>
    <w:p w14:paraId="223F80BE" w14:textId="10B0C2EC" w:rsidR="00E3051A" w:rsidRDefault="00E3051A" w:rsidP="00E3051A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In India, Fairtrade Network of Asia and Pacific Producers (NAPP) has more than 110 producer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organisations, among which around 70% are Small-scale Producer Organisations (SPOs).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These SPOs are governed and operated by the farmer members with a board and democratic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election processes in place. While some SPOs are in the Fairtrade System for many years now,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some other are new to it and does not have a strengthened institution and governance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systems in place. They lack an advanced level of understanding of governing an SPO, its</w:t>
      </w: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various operational aspects and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possibilities. Along with this governance aspects, coupled are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the issues of lack of access to low-co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st financing for agriculture, lack of market access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an under-developed or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unexplored value chain routes other than the regular producer-trader businesses of raw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produce.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</w:p>
    <w:p w14:paraId="4A9CBF23" w14:textId="77777777" w:rsidR="0059049B" w:rsidRPr="00E3051A" w:rsidRDefault="0059049B" w:rsidP="00E3051A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</w:p>
    <w:p w14:paraId="1773FE99" w14:textId="4243DB76" w:rsidR="0059049B" w:rsidRDefault="00E3051A" w:rsidP="00E3051A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In this backdrop, NAPP, working for the welfare of producer farmers and workers through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Fairtrade, is trying to support a selected number of SPOs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from India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through providing trainings and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workshops on SPO Governance;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Institutional Strengthening, Access to Low-Cost Finance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, market access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and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Value Chain Development. NAPP will administer these through an identified third-party expert/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Pr="00E3051A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consultancy ensuring the trainings have met all the required quality standards.</w:t>
      </w:r>
    </w:p>
    <w:p w14:paraId="57F185E4" w14:textId="77777777" w:rsidR="0059049B" w:rsidRDefault="0059049B" w:rsidP="00E3051A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</w:p>
    <w:p w14:paraId="304CAC87" w14:textId="6F55D4DE" w:rsidR="00881332" w:rsidRDefault="00996863" w:rsidP="00E3051A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In this regard 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NAPP is looking for</w:t>
      </w:r>
      <w:r w:rsidR="00983791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agencies who can deliver</w:t>
      </w:r>
      <w:r w:rsidR="0059049B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 </w:t>
      </w:r>
      <w:r w:rsidR="00881332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customised trainings, </w:t>
      </w:r>
      <w:r w:rsidR="00EE00FD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to be </w:t>
      </w:r>
      <w:r w:rsidR="00881332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deployed either physically or virtually as per the requirements. </w:t>
      </w:r>
      <w:r w:rsidR="00EE00FD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F</w:t>
      </w:r>
      <w:r w:rsidR="00881332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our training sessions </w:t>
      </w:r>
      <w:r w:rsidR="00EE00FD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are </w:t>
      </w:r>
      <w:r w:rsidR="00881332"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 xml:space="preserve">to be conducted in different regions of India, starting with Dharwad of Karnataka. </w:t>
      </w:r>
    </w:p>
    <w:p w14:paraId="520CA5A7" w14:textId="77777777" w:rsidR="00881332" w:rsidRDefault="00881332" w:rsidP="00881332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</w:p>
    <w:p w14:paraId="4A8BAB61" w14:textId="738D24C4" w:rsidR="00881332" w:rsidRDefault="00881332" w:rsidP="00881332">
      <w:pPr>
        <w:jc w:val="both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  <w:t>3</w:t>
      </w:r>
      <w:r w:rsidRPr="00881332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  <w:t xml:space="preserve">. </w:t>
      </w:r>
      <w:r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  <w:t>Training Details</w:t>
      </w:r>
    </w:p>
    <w:p w14:paraId="08C87B20" w14:textId="77777777" w:rsidR="00881332" w:rsidRDefault="00881332" w:rsidP="00881332">
      <w:pPr>
        <w:jc w:val="both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</w:pPr>
    </w:p>
    <w:p w14:paraId="0E284149" w14:textId="46257F05" w:rsidR="00881332" w:rsidRDefault="00881332" w:rsidP="00881332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  <w:r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  <w:t>Trainings are planned regionally for the below four regions:</w:t>
      </w:r>
    </w:p>
    <w:p w14:paraId="36AB53F6" w14:textId="77777777" w:rsidR="00AA2FE1" w:rsidRDefault="00AA2FE1" w:rsidP="00881332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653"/>
        <w:gridCol w:w="2977"/>
        <w:gridCol w:w="2636"/>
      </w:tblGrid>
      <w:tr w:rsidR="00AA2FE1" w14:paraId="12DA25F2" w14:textId="77777777" w:rsidTr="00AA2FE1">
        <w:trPr>
          <w:trHeight w:val="326"/>
        </w:trPr>
        <w:tc>
          <w:tcPr>
            <w:tcW w:w="744" w:type="dxa"/>
            <w:shd w:val="clear" w:color="auto" w:fill="auto"/>
          </w:tcPr>
          <w:p w14:paraId="184F8064" w14:textId="3C99AB4F" w:rsidR="00AA2FE1" w:rsidRPr="00AA2FE1" w:rsidRDefault="00AA2FE1" w:rsidP="00881332">
            <w:pPr>
              <w:jc w:val="both"/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proofErr w:type="spellStart"/>
            <w:r w:rsidRPr="00AA2FE1"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Sl</w:t>
            </w:r>
            <w:proofErr w:type="spellEnd"/>
            <w:r w:rsidRPr="00AA2FE1"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 xml:space="preserve"> No</w:t>
            </w:r>
          </w:p>
        </w:tc>
        <w:tc>
          <w:tcPr>
            <w:tcW w:w="2653" w:type="dxa"/>
            <w:shd w:val="clear" w:color="auto" w:fill="auto"/>
          </w:tcPr>
          <w:p w14:paraId="3CFD2829" w14:textId="6E4DC5CC" w:rsidR="00AA2FE1" w:rsidRPr="00AA2FE1" w:rsidRDefault="00AA2FE1" w:rsidP="00881332">
            <w:pPr>
              <w:jc w:val="both"/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 w:rsidRPr="00AA2FE1"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Region</w:t>
            </w:r>
          </w:p>
        </w:tc>
        <w:tc>
          <w:tcPr>
            <w:tcW w:w="2977" w:type="dxa"/>
            <w:shd w:val="clear" w:color="auto" w:fill="auto"/>
          </w:tcPr>
          <w:p w14:paraId="56FA90B3" w14:textId="38AA039E" w:rsidR="00AA2FE1" w:rsidRPr="00AA2FE1" w:rsidRDefault="00AA2FE1" w:rsidP="00881332">
            <w:pPr>
              <w:jc w:val="both"/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 w:rsidRPr="00AA2FE1"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Mode of training</w:t>
            </w:r>
          </w:p>
        </w:tc>
        <w:tc>
          <w:tcPr>
            <w:tcW w:w="2636" w:type="dxa"/>
            <w:shd w:val="clear" w:color="auto" w:fill="auto"/>
          </w:tcPr>
          <w:p w14:paraId="658DFAC4" w14:textId="6D599C70" w:rsidR="00AA2FE1" w:rsidRPr="00AA2FE1" w:rsidRDefault="00AA2FE1" w:rsidP="00881332">
            <w:pPr>
              <w:jc w:val="both"/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 w:rsidRPr="00AA2FE1">
              <w:rPr>
                <w:rFonts w:eastAsia="Times New Roman" w:cs="Times New Roman"/>
                <w:b/>
                <w:bCs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Language requirement</w:t>
            </w:r>
          </w:p>
        </w:tc>
      </w:tr>
      <w:tr w:rsidR="00AA2FE1" w14:paraId="4536159A" w14:textId="77777777" w:rsidTr="00AA2FE1">
        <w:tc>
          <w:tcPr>
            <w:tcW w:w="744" w:type="dxa"/>
          </w:tcPr>
          <w:p w14:paraId="55EE683D" w14:textId="75B235AA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1</w:t>
            </w:r>
          </w:p>
        </w:tc>
        <w:tc>
          <w:tcPr>
            <w:tcW w:w="2653" w:type="dxa"/>
          </w:tcPr>
          <w:p w14:paraId="3621D642" w14:textId="5339B4F5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Karnataka</w:t>
            </w:r>
          </w:p>
        </w:tc>
        <w:tc>
          <w:tcPr>
            <w:tcW w:w="2977" w:type="dxa"/>
          </w:tcPr>
          <w:p w14:paraId="4B25839C" w14:textId="400672DC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Physical at Dharwad</w:t>
            </w:r>
          </w:p>
        </w:tc>
        <w:tc>
          <w:tcPr>
            <w:tcW w:w="2636" w:type="dxa"/>
          </w:tcPr>
          <w:p w14:paraId="7936C525" w14:textId="0612A14A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Kannada</w:t>
            </w:r>
          </w:p>
        </w:tc>
      </w:tr>
      <w:tr w:rsidR="00AA2FE1" w14:paraId="7BB7EBEB" w14:textId="77777777" w:rsidTr="00AA2FE1">
        <w:tc>
          <w:tcPr>
            <w:tcW w:w="744" w:type="dxa"/>
          </w:tcPr>
          <w:p w14:paraId="46E783D8" w14:textId="50C1AC6C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2</w:t>
            </w:r>
          </w:p>
        </w:tc>
        <w:tc>
          <w:tcPr>
            <w:tcW w:w="2653" w:type="dxa"/>
          </w:tcPr>
          <w:p w14:paraId="3AB9D993" w14:textId="67E00639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Kerala</w:t>
            </w:r>
          </w:p>
        </w:tc>
        <w:tc>
          <w:tcPr>
            <w:tcW w:w="2977" w:type="dxa"/>
          </w:tcPr>
          <w:p w14:paraId="06DCA9A8" w14:textId="527148A6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Virtual</w:t>
            </w:r>
          </w:p>
        </w:tc>
        <w:tc>
          <w:tcPr>
            <w:tcW w:w="2636" w:type="dxa"/>
          </w:tcPr>
          <w:p w14:paraId="5A654FEC" w14:textId="1E527071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Malayalam</w:t>
            </w:r>
          </w:p>
        </w:tc>
      </w:tr>
      <w:tr w:rsidR="00AA2FE1" w14:paraId="50FEC769" w14:textId="77777777" w:rsidTr="00AA2FE1">
        <w:trPr>
          <w:trHeight w:val="297"/>
        </w:trPr>
        <w:tc>
          <w:tcPr>
            <w:tcW w:w="744" w:type="dxa"/>
          </w:tcPr>
          <w:p w14:paraId="59E298BF" w14:textId="31009A34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3</w:t>
            </w:r>
          </w:p>
        </w:tc>
        <w:tc>
          <w:tcPr>
            <w:tcW w:w="2653" w:type="dxa"/>
          </w:tcPr>
          <w:p w14:paraId="650AB352" w14:textId="185BB624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North India</w:t>
            </w:r>
          </w:p>
        </w:tc>
        <w:tc>
          <w:tcPr>
            <w:tcW w:w="2977" w:type="dxa"/>
          </w:tcPr>
          <w:p w14:paraId="668E4C1E" w14:textId="5EFCE344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Physical at Delhi (tentative)</w:t>
            </w:r>
          </w:p>
        </w:tc>
        <w:tc>
          <w:tcPr>
            <w:tcW w:w="2636" w:type="dxa"/>
          </w:tcPr>
          <w:p w14:paraId="7C0B1A59" w14:textId="5BB068DB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Hindi</w:t>
            </w:r>
          </w:p>
        </w:tc>
      </w:tr>
      <w:tr w:rsidR="00AA2FE1" w14:paraId="4CA04C3D" w14:textId="77777777" w:rsidTr="00AA2FE1">
        <w:trPr>
          <w:trHeight w:val="256"/>
        </w:trPr>
        <w:tc>
          <w:tcPr>
            <w:tcW w:w="744" w:type="dxa"/>
          </w:tcPr>
          <w:p w14:paraId="5934E361" w14:textId="7F28971A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4</w:t>
            </w:r>
          </w:p>
        </w:tc>
        <w:tc>
          <w:tcPr>
            <w:tcW w:w="2653" w:type="dxa"/>
          </w:tcPr>
          <w:p w14:paraId="5D03F114" w14:textId="1167391B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Central India</w:t>
            </w:r>
          </w:p>
        </w:tc>
        <w:tc>
          <w:tcPr>
            <w:tcW w:w="2977" w:type="dxa"/>
          </w:tcPr>
          <w:p w14:paraId="7B447B3B" w14:textId="26A7952D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Physical/Virtual - tentative</w:t>
            </w:r>
          </w:p>
        </w:tc>
        <w:tc>
          <w:tcPr>
            <w:tcW w:w="2636" w:type="dxa"/>
          </w:tcPr>
          <w:p w14:paraId="0D388704" w14:textId="19B3702E" w:rsidR="00AA2FE1" w:rsidRDefault="00AA2FE1" w:rsidP="00881332">
            <w:pPr>
              <w:jc w:val="both"/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</w:pPr>
            <w:r>
              <w:rPr>
                <w:rFonts w:eastAsia="Times New Roman" w:cs="Times New Roman"/>
                <w:color w:val="222222"/>
                <w:sz w:val="23"/>
                <w:szCs w:val="23"/>
                <w:shd w:val="clear" w:color="auto" w:fill="FFFFFF"/>
                <w:lang w:eastAsia="en-GB" w:bidi="ml-IN"/>
              </w:rPr>
              <w:t>Marathi, Hindi</w:t>
            </w:r>
          </w:p>
        </w:tc>
      </w:tr>
    </w:tbl>
    <w:p w14:paraId="65C0E28D" w14:textId="77777777" w:rsidR="00AA2FE1" w:rsidRDefault="00AA2FE1" w:rsidP="00881332">
      <w:pPr>
        <w:jc w:val="both"/>
        <w:rPr>
          <w:rFonts w:eastAsia="Times New Roman" w:cs="Times New Roman"/>
          <w:color w:val="222222"/>
          <w:sz w:val="23"/>
          <w:szCs w:val="23"/>
          <w:shd w:val="clear" w:color="auto" w:fill="FFFFFF"/>
          <w:lang w:eastAsia="en-GB" w:bidi="ml-IN"/>
        </w:rPr>
      </w:pPr>
    </w:p>
    <w:p w14:paraId="4A3BCE96" w14:textId="1132ACAA" w:rsidR="00881332" w:rsidRDefault="00AA2FE1" w:rsidP="0088133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Tentative topics of the training should be on the below lines:</w:t>
      </w:r>
    </w:p>
    <w:p w14:paraId="13E3474A" w14:textId="1C4EEDDA" w:rsidR="00AA2FE1" w:rsidRDefault="00AA2FE1" w:rsidP="00AA2FE1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Governance of SPOs </w:t>
      </w:r>
    </w:p>
    <w:p w14:paraId="1B0783AA" w14:textId="2361AD6E" w:rsidR="00AA2FE1" w:rsidRDefault="00AA2FE1" w:rsidP="00AA2FE1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Value Chain Development</w:t>
      </w:r>
    </w:p>
    <w:p w14:paraId="0A52BE78" w14:textId="4299D129" w:rsidR="00AA2FE1" w:rsidRDefault="00AA2FE1" w:rsidP="00AA2FE1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Market Access</w:t>
      </w:r>
    </w:p>
    <w:p w14:paraId="75471266" w14:textId="0A2070A1" w:rsidR="00AA2FE1" w:rsidRDefault="00AA2FE1" w:rsidP="00AA2FE1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Financial Management &amp; Access to Finance</w:t>
      </w:r>
    </w:p>
    <w:p w14:paraId="21F9E059" w14:textId="77777777" w:rsidR="00AA2FE1" w:rsidRDefault="00AA2FE1" w:rsidP="00AA2FE1">
      <w:pPr>
        <w:jc w:val="both"/>
        <w:rPr>
          <w:sz w:val="22"/>
          <w:szCs w:val="22"/>
          <w:lang w:val="en-US"/>
        </w:rPr>
      </w:pPr>
    </w:p>
    <w:p w14:paraId="2BE69B42" w14:textId="07704DFD" w:rsidR="00AA2FE1" w:rsidRDefault="00AA2FE1" w:rsidP="00AA2FE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Each training will be attended by 25</w:t>
      </w:r>
      <w:r w:rsidR="0059049B">
        <w:rPr>
          <w:sz w:val="22"/>
          <w:szCs w:val="22"/>
          <w:lang w:val="en-US"/>
        </w:rPr>
        <w:t xml:space="preserve"> to 30 participants and are tentatively planned to be conducted between September (last week) and November. </w:t>
      </w:r>
    </w:p>
    <w:p w14:paraId="48DF082B" w14:textId="77777777" w:rsidR="00AA2FE1" w:rsidRDefault="00AA2FE1" w:rsidP="00AA2FE1">
      <w:pPr>
        <w:jc w:val="both"/>
        <w:rPr>
          <w:sz w:val="22"/>
          <w:szCs w:val="22"/>
          <w:lang w:val="en-US"/>
        </w:rPr>
      </w:pPr>
    </w:p>
    <w:p w14:paraId="36232941" w14:textId="77777777" w:rsidR="00AA2FE1" w:rsidRDefault="00AA2FE1" w:rsidP="00AA2FE1">
      <w:pPr>
        <w:jc w:val="both"/>
        <w:rPr>
          <w:sz w:val="22"/>
          <w:szCs w:val="22"/>
          <w:lang w:val="en-US"/>
        </w:rPr>
      </w:pPr>
    </w:p>
    <w:p w14:paraId="27BED4BA" w14:textId="2C1B9946" w:rsidR="00AA2FE1" w:rsidRDefault="00AA2FE1" w:rsidP="00AA2FE1">
      <w:pPr>
        <w:jc w:val="both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  <w:t>4</w:t>
      </w:r>
      <w:r w:rsidRPr="00881332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  <w:t xml:space="preserve">. </w:t>
      </w:r>
      <w:r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en-GB" w:bidi="ml-IN"/>
        </w:rPr>
        <w:t>Requirements</w:t>
      </w:r>
    </w:p>
    <w:p w14:paraId="39D3EB98" w14:textId="77777777" w:rsidR="00AA2FE1" w:rsidRPr="00AA2FE1" w:rsidRDefault="00AA2FE1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</w:p>
    <w:p w14:paraId="120205E8" w14:textId="72A94708" w:rsidR="00AA2FE1" w:rsidRDefault="00AA2FE1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  <w:r w:rsidRPr="00AA2FE1"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Any consultancies or organisations having experience in conducting the trainings on the given topics are encouraged to apply. </w:t>
      </w:r>
    </w:p>
    <w:p w14:paraId="6316EF1F" w14:textId="77777777" w:rsidR="00AA2FE1" w:rsidRDefault="00AA2FE1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</w:p>
    <w:p w14:paraId="01E063CA" w14:textId="56706A7A" w:rsidR="00AA2FE1" w:rsidRDefault="00EE00FD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  <w:r>
        <w:rPr>
          <w:rFonts w:eastAsia="Times New Roman" w:cs="Times New Roman"/>
          <w:b/>
          <w:bCs/>
          <w:color w:val="222222"/>
          <w:sz w:val="22"/>
          <w:szCs w:val="22"/>
          <w:bdr w:val="none" w:sz="0" w:space="0" w:color="auto" w:frame="1"/>
          <w:lang w:eastAsia="en-GB" w:bidi="ml-IN"/>
        </w:rPr>
        <w:t>In the</w:t>
      </w:r>
      <w:r w:rsidR="00AA2FE1" w:rsidRPr="005C6847">
        <w:rPr>
          <w:rFonts w:eastAsia="Times New Roman" w:cs="Times New Roman"/>
          <w:b/>
          <w:bCs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 initial phase, proposals are requested for the training to be conducted in Karnataka only.</w:t>
      </w:r>
      <w:r w:rsidR="00AA2FE1"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 The proposal should provide the training modules, </w:t>
      </w:r>
      <w:r w:rsidR="005C6847"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>CVs of the trainers’/team members and a financial quote.</w:t>
      </w:r>
    </w:p>
    <w:p w14:paraId="2BB00473" w14:textId="77777777" w:rsidR="005C6847" w:rsidRDefault="005C6847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</w:p>
    <w:p w14:paraId="2343FE87" w14:textId="38931DD6" w:rsidR="005C6847" w:rsidRDefault="005C6847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  <w:r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The financial quote should include the professional charges along with the training cost </w:t>
      </w:r>
      <w:r w:rsidR="00EE00FD"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>and</w:t>
      </w:r>
      <w:r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 accommodation cost of the participants</w:t>
      </w:r>
    </w:p>
    <w:p w14:paraId="1EA2F6CA" w14:textId="77777777" w:rsidR="005C6847" w:rsidRPr="002C7906" w:rsidRDefault="005C6847" w:rsidP="00AA2FE1">
      <w:pPr>
        <w:jc w:val="both"/>
        <w:rPr>
          <w:rFonts w:eastAsia="Times New Roman" w:cs="Times New Roman"/>
          <w:b/>
          <w:bCs/>
          <w:color w:val="222222"/>
          <w:sz w:val="22"/>
          <w:szCs w:val="22"/>
          <w:bdr w:val="none" w:sz="0" w:space="0" w:color="auto" w:frame="1"/>
          <w:lang w:eastAsia="en-GB" w:bidi="ml-IN"/>
        </w:rPr>
      </w:pPr>
    </w:p>
    <w:p w14:paraId="6CE2750D" w14:textId="19CF5991" w:rsidR="005C6847" w:rsidRPr="002C7906" w:rsidRDefault="005C6847" w:rsidP="00AA2FE1">
      <w:pPr>
        <w:jc w:val="both"/>
        <w:rPr>
          <w:rFonts w:eastAsia="Times New Roman" w:cs="Times New Roman"/>
          <w:b/>
          <w:bCs/>
          <w:color w:val="222222"/>
          <w:sz w:val="22"/>
          <w:szCs w:val="22"/>
          <w:bdr w:val="none" w:sz="0" w:space="0" w:color="auto" w:frame="1"/>
          <w:lang w:eastAsia="en-GB" w:bidi="ml-IN"/>
        </w:rPr>
      </w:pPr>
      <w:r w:rsidRPr="002C7906">
        <w:rPr>
          <w:rFonts w:eastAsia="Times New Roman" w:cs="Times New Roman"/>
          <w:b/>
          <w:bCs/>
          <w:color w:val="222222"/>
          <w:sz w:val="22"/>
          <w:szCs w:val="22"/>
          <w:bdr w:val="none" w:sz="0" w:space="0" w:color="auto" w:frame="1"/>
          <w:lang w:eastAsia="en-GB" w:bidi="ml-IN"/>
        </w:rPr>
        <w:t>On a satisfactory delivery, the organisation selected for the initial training in Karnataka will be selected for the subsequent trainings in other regions.</w:t>
      </w:r>
    </w:p>
    <w:p w14:paraId="418DCD37" w14:textId="77777777" w:rsidR="00C362E2" w:rsidRDefault="00C362E2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</w:p>
    <w:p w14:paraId="78067B63" w14:textId="6A55A0BB" w:rsidR="00C362E2" w:rsidRDefault="00C362E2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  <w:r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>The details to be received on or before 14</w:t>
      </w:r>
      <w:r w:rsidRPr="00C362E2"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vertAlign w:val="superscript"/>
          <w:lang w:eastAsia="en-GB" w:bidi="ml-IN"/>
        </w:rPr>
        <w:t>th</w:t>
      </w:r>
      <w:r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 September 2021</w:t>
      </w:r>
    </w:p>
    <w:p w14:paraId="42ABC087" w14:textId="77777777" w:rsidR="005C6847" w:rsidRDefault="005C6847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</w:p>
    <w:p w14:paraId="5205E55E" w14:textId="61E076CE" w:rsidR="005C6847" w:rsidRPr="00AA2FE1" w:rsidRDefault="005C6847" w:rsidP="00AA2FE1">
      <w:pPr>
        <w:jc w:val="both"/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</w:pPr>
      <w:r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Please share the proposal details to </w:t>
      </w:r>
      <w:hyperlink r:id="rId5" w:history="1">
        <w:r w:rsidRPr="00366094">
          <w:rPr>
            <w:rStyle w:val="Hyperlink"/>
            <w:rFonts w:eastAsia="Times New Roman" w:cs="Times New Roman"/>
            <w:sz w:val="22"/>
            <w:szCs w:val="22"/>
            <w:bdr w:val="none" w:sz="0" w:space="0" w:color="auto" w:frame="1"/>
            <w:lang w:eastAsia="en-GB" w:bidi="ml-IN"/>
          </w:rPr>
          <w:t>ranjith.kumar@fairtradenapp.org</w:t>
        </w:r>
      </w:hyperlink>
      <w:r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 </w:t>
      </w:r>
      <w:r w:rsidR="009B1536"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or </w:t>
      </w:r>
      <w:hyperlink r:id="rId6" w:history="1">
        <w:r w:rsidR="009B1536" w:rsidRPr="00366094">
          <w:rPr>
            <w:rStyle w:val="Hyperlink"/>
            <w:rFonts w:eastAsia="Times New Roman" w:cs="Times New Roman"/>
            <w:sz w:val="22"/>
            <w:szCs w:val="22"/>
            <w:bdr w:val="none" w:sz="0" w:space="0" w:color="auto" w:frame="1"/>
            <w:lang w:eastAsia="en-GB" w:bidi="ml-IN"/>
          </w:rPr>
          <w:t>ashok.krishna@fairtradenapp.org</w:t>
        </w:r>
      </w:hyperlink>
      <w:r w:rsidR="009B1536">
        <w:rPr>
          <w:rFonts w:eastAsia="Times New Roman" w:cs="Times New Roman"/>
          <w:color w:val="222222"/>
          <w:sz w:val="22"/>
          <w:szCs w:val="22"/>
          <w:bdr w:val="none" w:sz="0" w:space="0" w:color="auto" w:frame="1"/>
          <w:lang w:eastAsia="en-GB" w:bidi="ml-IN"/>
        </w:rPr>
        <w:t xml:space="preserve"> </w:t>
      </w:r>
    </w:p>
    <w:p w14:paraId="7DF2612D" w14:textId="77777777" w:rsidR="00AA2FE1" w:rsidRPr="00AA2FE1" w:rsidRDefault="00AA2FE1" w:rsidP="00AA2FE1">
      <w:pPr>
        <w:jc w:val="both"/>
        <w:rPr>
          <w:sz w:val="22"/>
          <w:szCs w:val="22"/>
          <w:lang w:val="en-US"/>
        </w:rPr>
      </w:pPr>
    </w:p>
    <w:p w14:paraId="5686EEE3" w14:textId="77777777" w:rsidR="00AA2FE1" w:rsidRPr="00AA2FE1" w:rsidRDefault="00AA2FE1" w:rsidP="00AA2FE1">
      <w:pPr>
        <w:jc w:val="both"/>
        <w:rPr>
          <w:sz w:val="22"/>
          <w:szCs w:val="22"/>
          <w:lang w:val="en-US"/>
        </w:rPr>
      </w:pPr>
    </w:p>
    <w:p w14:paraId="118757E7" w14:textId="77777777" w:rsidR="00AA2FE1" w:rsidRPr="00AA2FE1" w:rsidRDefault="00AA2FE1" w:rsidP="00AA2FE1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AA2FE1" w:rsidRPr="00AA2FE1" w:rsidSect="000A49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auto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7A8"/>
    <w:multiLevelType w:val="hybridMultilevel"/>
    <w:tmpl w:val="96F00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61FE"/>
    <w:multiLevelType w:val="hybridMultilevel"/>
    <w:tmpl w:val="3AC61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A"/>
    <w:rsid w:val="000A49CC"/>
    <w:rsid w:val="00215559"/>
    <w:rsid w:val="002C7906"/>
    <w:rsid w:val="004A06DA"/>
    <w:rsid w:val="00571292"/>
    <w:rsid w:val="0059049B"/>
    <w:rsid w:val="005C6847"/>
    <w:rsid w:val="006174D1"/>
    <w:rsid w:val="00881332"/>
    <w:rsid w:val="00983791"/>
    <w:rsid w:val="00996863"/>
    <w:rsid w:val="009B1536"/>
    <w:rsid w:val="00AA2FE1"/>
    <w:rsid w:val="00C362E2"/>
    <w:rsid w:val="00E3051A"/>
    <w:rsid w:val="00E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23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ngersoftwaremark">
    <w:name w:val="ginger_software_mark"/>
    <w:basedOn w:val="DefaultParagraphFont"/>
    <w:rsid w:val="00881332"/>
  </w:style>
  <w:style w:type="character" w:customStyle="1" w:styleId="apple-converted-space">
    <w:name w:val="apple-converted-space"/>
    <w:basedOn w:val="DefaultParagraphFont"/>
    <w:rsid w:val="00881332"/>
  </w:style>
  <w:style w:type="paragraph" w:styleId="ListParagraph">
    <w:name w:val="List Paragraph"/>
    <w:basedOn w:val="Normal"/>
    <w:uiPriority w:val="34"/>
    <w:qFormat/>
    <w:rsid w:val="00881332"/>
    <w:pPr>
      <w:ind w:left="720"/>
      <w:contextualSpacing/>
    </w:pPr>
  </w:style>
  <w:style w:type="table" w:styleId="TableGrid">
    <w:name w:val="Table Grid"/>
    <w:basedOn w:val="TableNormal"/>
    <w:uiPriority w:val="39"/>
    <w:rsid w:val="00AA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6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njith.kumar@fairtradenapp.org" TargetMode="External"/><Relationship Id="rId6" Type="http://schemas.openxmlformats.org/officeDocument/2006/relationships/hyperlink" Target="mailto:ashok.krishna@fairtradenapp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2021-09-07T06:15:00Z</dcterms:created>
  <dcterms:modified xsi:type="dcterms:W3CDTF">2021-09-07T07:31:00Z</dcterms:modified>
</cp:coreProperties>
</file>